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026" w:rsidRDefault="00357026" w:rsidP="0035702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Приложение 1</w:t>
      </w:r>
    </w:p>
    <w:p w:rsidR="00357026" w:rsidRDefault="00357026" w:rsidP="0035702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к приказу №104 от 27.02.2026 г.</w:t>
      </w:r>
    </w:p>
    <w:p w:rsidR="00357026" w:rsidRDefault="00357026" w:rsidP="00357026">
      <w:pPr>
        <w:jc w:val="center"/>
        <w:rPr>
          <w:rFonts w:ascii="Times New Roman" w:hAnsi="Times New Roman"/>
          <w:sz w:val="24"/>
        </w:rPr>
      </w:pPr>
    </w:p>
    <w:p w:rsidR="00357026" w:rsidRDefault="00357026" w:rsidP="0035702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 мероприятий по организации доступной среды, включая обеспечение условий по беспрепятственному доступу инвалидов и других маломобильных групп населения в здании </w:t>
      </w:r>
      <w:r w:rsidRPr="00E34FE7">
        <w:rPr>
          <w:rFonts w:ascii="Times New Roman" w:hAnsi="Times New Roman"/>
          <w:sz w:val="24"/>
          <w:u w:val="single"/>
        </w:rPr>
        <w:t xml:space="preserve">МБОУ СОШ с. </w:t>
      </w:r>
      <w:proofErr w:type="spellStart"/>
      <w:r w:rsidRPr="00E34FE7">
        <w:rPr>
          <w:rFonts w:ascii="Times New Roman" w:hAnsi="Times New Roman"/>
          <w:sz w:val="24"/>
          <w:u w:val="single"/>
        </w:rPr>
        <w:t>Шулганово</w:t>
      </w:r>
      <w:proofErr w:type="spellEnd"/>
    </w:p>
    <w:p w:rsidR="00357026" w:rsidRPr="00E34FE7" w:rsidRDefault="00357026" w:rsidP="00357026">
      <w:pPr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расположенного по адресу </w:t>
      </w:r>
      <w:r w:rsidRPr="00E34FE7">
        <w:rPr>
          <w:rFonts w:ascii="Times New Roman" w:hAnsi="Times New Roman"/>
          <w:sz w:val="24"/>
          <w:u w:val="single"/>
        </w:rPr>
        <w:t xml:space="preserve">452843, РБ, </w:t>
      </w:r>
      <w:proofErr w:type="spellStart"/>
      <w:r w:rsidRPr="00E34FE7">
        <w:rPr>
          <w:rFonts w:ascii="Times New Roman" w:hAnsi="Times New Roman"/>
          <w:sz w:val="24"/>
          <w:u w:val="single"/>
        </w:rPr>
        <w:t>Татышлинский</w:t>
      </w:r>
      <w:proofErr w:type="spellEnd"/>
      <w:r w:rsidRPr="00E34FE7">
        <w:rPr>
          <w:rFonts w:ascii="Times New Roman" w:hAnsi="Times New Roman"/>
          <w:sz w:val="24"/>
          <w:u w:val="single"/>
        </w:rPr>
        <w:t xml:space="preserve"> район, с. </w:t>
      </w:r>
      <w:proofErr w:type="spellStart"/>
      <w:r w:rsidRPr="00E34FE7">
        <w:rPr>
          <w:rFonts w:ascii="Times New Roman" w:hAnsi="Times New Roman"/>
          <w:sz w:val="24"/>
          <w:u w:val="single"/>
        </w:rPr>
        <w:t>Шулганово</w:t>
      </w:r>
      <w:proofErr w:type="spellEnd"/>
      <w:r w:rsidRPr="00E34FE7">
        <w:rPr>
          <w:rFonts w:ascii="Times New Roman" w:hAnsi="Times New Roman"/>
          <w:sz w:val="24"/>
          <w:u w:val="single"/>
        </w:rPr>
        <w:t>, ул. Школьная, д. 16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268"/>
        <w:gridCol w:w="3544"/>
      </w:tblGrid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 по обеспечению доступности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к установке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Изображение, пример</w:t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Информационное обеспечение по основному входу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 доступности. У входа установить знак доступности объекта, информирующий МГН о степени доступности здания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Установить у входной двери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  <w:i/>
                <w:iCs/>
              </w:rPr>
            </w:pP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Организовать ситуационную помощь МГН на объекте в виде сопровождения персоналом: установить кнопку вызова помощника на входе; внести соответствующие изменения в правила оказания услуг в учреждении; Закрепить ответственных сотрудников с внесением соответствующих функций в должностные обязанности; Провести инструктаж персонал по оказанию ситуационной помощи МГН на объекте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Установить кнопку в доступной для МГН зоне у входной группы на высоте 0,9 м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noProof/>
              </w:rPr>
              <w:drawing>
                <wp:inline distT="0" distB="0" distL="0" distR="0" wp14:anchorId="042250BC" wp14:editId="33800055">
                  <wp:extent cx="1195705" cy="800100"/>
                  <wp:effectExtent l="0" t="0" r="4445" b="0"/>
                  <wp:docPr id="1" name="Рисунок 1" descr="C:\Users\User\Desktop\Доступная среда\Доступная среда-20170125T073803Z\Доступная среда\07. СИСТЕМА ВЫЗОВА ПУЛЬСАР-3\Фото\Кнопка универсальная (Аа)\_DSC4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C:\Users\User\Desktop\Доступная среда\Доступная среда-20170125T073803Z\Доступная среда\07. СИСТЕМА ВЫЗОВА ПУЛЬСАР-3\Фото\Кнопка универсальная (Аа)\_DSC4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764" cy="804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этажах установить тактильную мнемосхему, информирующую о расположении помещений и направление движений к ним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Установить мнемосхему на расстоянии 1,5-2,0 м от входа с правой стороны на высоте 1,5 м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0999405" wp14:editId="2ED0672C">
                  <wp:extent cx="1348740" cy="902335"/>
                  <wp:effectExtent l="0" t="0" r="3810" b="0"/>
                  <wp:docPr id="2" name="Рисунок 2" descr="C:\Users\User\Desktop\Доступная среда\Доступная среда-20170125T073803Z\Доступная среда\12. МНЕМОСХЕМЫ ТАКТИЛЬНЫЕ \21964 мнемосхема 610х470\ФОТО\DSC_0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 descr="C:\Users\User\Desktop\Доступная среда\Доступная среда-20170125T073803Z\Доступная среда\12. МНЕМОСХЕМЫ ТАКТИЛЬНЫЕ \21964 мнемосхема 610х470\ФОТО\DSC_0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855" cy="90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всему маршруту движения установить информационные указатели, обеспечивающие своевременное получение информации о месте расположения: санитарно-гигиенических помещений, лестниц, входов, выходов, в том числе эвакуационных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Установить знаки на высоте 1,4-1,6 м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C12D748" wp14:editId="49D9A5E5">
                  <wp:extent cx="1263650" cy="1452245"/>
                  <wp:effectExtent l="0" t="0" r="0" b="0"/>
                  <wp:docPr id="3" name="Рисунок 3" descr="http://www.dos-sreda.ru/content/images/kat/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http://www.dos-sreda.ru/content/images/kat/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81470" cy="147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дверей в помещения установить информационные таблички (номер, туалет и т. д.) с использованием плосковыпуклой тактильной подачей информации, а также дублированием шрифтом Брайля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Установить таблички со стороны ручки на высоте 1,4 м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DBE19A2" wp14:editId="40EA34B7">
                  <wp:extent cx="1637030" cy="1085850"/>
                  <wp:effectExtent l="0" t="0" r="1270" b="0"/>
                  <wp:docPr id="4" name="Рисунок 4" descr="C:\Users\User\Desktop\Доступная среда\Доступная среда-20170125T073803Z\Доступная среда\10. ТАКТИЛЬНЫЕ ЗНАКИ И ТАБЛИЧКИ\21822 Инф - Тактильн знак 300 на 100\Фото\31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C:\Users\User\Desktop\Доступная среда\Доступная среда-20170125T073803Z\Доступная среда\10. ТАКТИЛЬНЫЕ ЗНАКИ И ТАБЛИЧКИ\21822 Инф - Тактильн знак 300 на 100\Фото\31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584" cy="109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1.6.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всему маршруту движения установить звуковые маяки, обеспечивающие своевременное получение информации для слабовидящих и слепых о месте расположения: санитарно-гигиенических помещений, лестниц, входов, выходов, в том числе эвакуационных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Звуковые маяки устанавливаются по всему маршруту движения (в холле, в коридорах и т. д.)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3F53AA7" wp14:editId="21D80145">
                  <wp:extent cx="1492250" cy="2238375"/>
                  <wp:effectExtent l="0" t="0" r="0" b="0"/>
                  <wp:docPr id="5" name="Рисунок 5" descr="C:\Users\User\Desktop\Доступная среда\Доступная среда-20170125T073803Z\Доступная среда\02. ЗВУК МАЯКИ\27339 Звуковой маяк Парус АпБч\ФОТО\пару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 descr="C:\Users\User\Desktop\Доступная среда\Доступная среда-20170125T073803Z\Доступная среда\02. ЗВУК МАЯКИ\27339 Звуковой маяк Парус АпБч\ФОТО\пару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94572" cy="224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вестибюлях общественных зданий, с учетом их функционального назначения, следует предусматривать установку информационных терминалов/киосков, информационных табло типа "бегущая строка", телефонных устройств с текстовым выходом для посетителей с нарушением слуха, звуковых и </w:t>
            </w:r>
            <w:proofErr w:type="spellStart"/>
            <w:r>
              <w:rPr>
                <w:rFonts w:ascii="Times New Roman" w:hAnsi="Times New Roman"/>
              </w:rPr>
              <w:t>радиоинформаторов</w:t>
            </w:r>
            <w:proofErr w:type="spellEnd"/>
            <w:r>
              <w:rPr>
                <w:rFonts w:ascii="Times New Roman" w:hAnsi="Times New Roman"/>
              </w:rPr>
              <w:t>, и/или тактильных и с речевым дублированием информации мнемосхем для посетителей с нарушением зрения. Перечень устанавливается в задании на проектирование.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использованием указанных средств должны быть оснащены (5% общего числа, но не менее одной справочной всех видов, билетные кассы массовой продажи и т.п. для информации о предоставляемых услугах.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П. 6.5.7 СП 59.13330.2016.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6B57D6B" wp14:editId="2B996B68">
                  <wp:extent cx="1419860" cy="1064895"/>
                  <wp:effectExtent l="0" t="0" r="8890" b="1905"/>
                  <wp:docPr id="6" name="Рисунок 6" descr="C:\Users\User\Desktop\Доступная среда\Доступная среда-20170125T073803Z\Доступная среда\08. БЕГУЩИЕ СТРОКИ\21466 БС для улицы. Габариты зоны табло 1280x160 (габариты корпуса 1310x190x125)\Фото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C:\Users\User\Desktop\Доступная среда\Доступная среда-20170125T073803Z\Доступная среда\08. БЕГУЩИЕ СТРОКИ\21466 БС для улицы. Габариты зоны табло 1280x160 (габариты корпуса 1310x190x125)\Фото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748" cy="1094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7BA403C" wp14:editId="7F3F1443">
                  <wp:extent cx="1209675" cy="3733165"/>
                  <wp:effectExtent l="0" t="0" r="0" b="635"/>
                  <wp:docPr id="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73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373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1.8.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</w:t>
            </w:r>
            <w:proofErr w:type="spellStart"/>
            <w:r>
              <w:rPr>
                <w:rFonts w:ascii="Times New Roman" w:hAnsi="Times New Roman"/>
              </w:rPr>
              <w:t>проступях</w:t>
            </w:r>
            <w:proofErr w:type="spellEnd"/>
            <w:r>
              <w:rPr>
                <w:rFonts w:ascii="Times New Roman" w:hAnsi="Times New Roman"/>
              </w:rPr>
              <w:t xml:space="preserve"> краевых ступеней лестничных маршей должны быть нанесены одна или несколько полос, контрастных с поверхностью ступени, (например, желтого цвета), имеющие общую ширину в пределах 0,08 - 0,1 м. Расстояние между контрастной полосой и краем проступи - от 0,03 до 0,04 м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П. 5.1.12 СП 59.13330.2016.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1F93FB5" wp14:editId="420DD5D9">
                  <wp:extent cx="1579880" cy="1184275"/>
                  <wp:effectExtent l="0" t="0" r="1270" b="0"/>
                  <wp:docPr id="8" name="Рисунок 8" descr="C:\Users\User\Desktop\Доступная среда\Доступная среда-20170125T073803Z\Доступная среда\14. ПОЛОСЫ КОНТРАСТНЫЕ\20804 полоса контр. (50мм) 33м\ФОТО\sdfs546d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 descr="C:\Users\User\Desktop\Доступная среда\Доступная среда-20170125T073803Z\Доступная среда\14. ПОЛОСЫ КОНТРАСТНЫЕ\20804 полоса контр. (50мм) 33м\ФОТО\sdfs546d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102" cy="1206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Обеспечение доступной среды по основному входу - для всех посетителей, включая МГН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Дверные проемы вновь проектируемых зданий и сооружений для входа МГН должны иметь ширину в свету не менее 1,2 м. При двухстворчатых входных дверях ширина одной створки (дверного полотна) должна быть 0,9 м. При </w:t>
            </w:r>
            <w:r>
              <w:rPr>
                <w:rFonts w:ascii="Times New Roman" w:hAnsi="Times New Roman"/>
              </w:rPr>
              <w:lastRenderedPageBreak/>
              <w:t xml:space="preserve">проектировании реконструируемых, подлежащих капитальному ремонту и приспосабливаемых зданий, и сооружений ширина входных дверных проемов принимается по месту от 0,9 до 1,2 м. Применение дверей на качающихся петлях и вращающихся дверей на путях движения МГН не допускается. Усилие открывания двери не должно превышать 50 </w:t>
            </w:r>
            <w:proofErr w:type="spellStart"/>
            <w:r>
              <w:rPr>
                <w:rFonts w:ascii="Times New Roman" w:hAnsi="Times New Roman"/>
              </w:rPr>
              <w:t>Нм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полотнах наружных дверей, доступных для МГН, следует предусматривать смотровые панели, заполненные прозрачным и ударопрочным материалом. Верхняя граница смотровой панели должна располагаться на высоте не ниже 1,6 м от уровня пола, нижняя граница - не выше 1,0 м. При этом смотровая панель должна иметь ширину не менее 0,15 м и располагаться в зоне от середины полотна в сторону дверной ручки.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проемах дверей, доступных для МГН, допускаются пороги высотой не более 0,014 м.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качестве дверных запоров на путях эвакуации следует предусматривать ручки нажимного действия.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СП 59.13330.2016 п. 6.1.5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Оборудовать здание пандусом/ привести имеющийся пандус в соответствие нормативным требованиям.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высота одного подъема (марша) пандуса не должна превышать 0,45 м при уклоне не более 1:20 (5%). При перепаде высот пола на путях движения 0,2 м и менее допускается увеличивать уклон пандуса до 1:10 (10%).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Пандусы при перепаде высот более 3,0 м следует заменять лифтами, подъемными платформами и т.п.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П.6.2.9 СП 59.13330.2016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7D1D088" wp14:editId="3739BE0F">
                  <wp:extent cx="2149475" cy="1780540"/>
                  <wp:effectExtent l="0" t="0" r="0" b="0"/>
                  <wp:docPr id="9" name="Рисунок 9" descr="Картинки по запросу пандус для инвалид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 descr="Картинки по запросу пандус для инвалид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462" cy="1793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Установить поручни, имеющие безопасную конструкцию.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Вдоль обеих сторон всех пандусов и открытых лестниц, а также у всех перепадов высот горизонтальных поверхностей более 0,45 м необходимо устанавливать ограждения с поручнями. Поручни следует располагать на высоте 0,9 м, у пандусов - дополнительно и на высоте 0,7 м. Верхний и нижний поручни пандуса должны быть расположены в одной вертикальной плоскости.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Поручень перил с внутренней стороны лестницы должен быть непрерывным по всей ее высоте.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Расстояние между поручнями пандуса с односторонним </w:t>
            </w:r>
            <w:r>
              <w:rPr>
                <w:rFonts w:ascii="Times New Roman" w:hAnsi="Times New Roman"/>
              </w:rPr>
              <w:lastRenderedPageBreak/>
              <w:t>движением принимать в пределах от 0,9 до 1,0 м.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Завершающие горизонтальные части поручня должны быть длиннее марша лестницы или наклонной части пандуса на 0,3 м и иметь </w:t>
            </w:r>
            <w:proofErr w:type="spellStart"/>
            <w:r>
              <w:rPr>
                <w:rFonts w:ascii="Times New Roman" w:hAnsi="Times New Roman"/>
              </w:rPr>
              <w:t>травмобезопасное</w:t>
            </w:r>
            <w:proofErr w:type="spellEnd"/>
            <w:r>
              <w:rPr>
                <w:rFonts w:ascii="Times New Roman" w:hAnsi="Times New Roman"/>
              </w:rPr>
              <w:t xml:space="preserve"> исполнение.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П.6.2.11 СП 59.13330.2016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D3D1852" wp14:editId="6BDAD794">
                  <wp:extent cx="2394585" cy="1709420"/>
                  <wp:effectExtent l="0" t="0" r="0" b="0"/>
                  <wp:docPr id="10" name="Рисунок 10" descr="Картинки по запросу поручни для инвалид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 descr="Картинки по запросу поручни для инвалид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435" cy="171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</w:p>
          <w:p w:rsidR="00357026" w:rsidRDefault="00357026" w:rsidP="00E0630A">
            <w:pPr>
              <w:rPr>
                <w:rFonts w:ascii="Times New Roman" w:hAnsi="Times New Roman"/>
              </w:rPr>
            </w:pPr>
          </w:p>
          <w:p w:rsidR="00357026" w:rsidRDefault="00357026" w:rsidP="00E0630A">
            <w:pPr>
              <w:rPr>
                <w:rFonts w:ascii="Times New Roman" w:hAnsi="Times New Roman"/>
              </w:rPr>
            </w:pPr>
          </w:p>
          <w:p w:rsidR="00357026" w:rsidRDefault="00357026" w:rsidP="00E0630A">
            <w:pPr>
              <w:tabs>
                <w:tab w:val="left" w:pos="87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357026" w:rsidRDefault="00357026" w:rsidP="00E0630A">
            <w:pPr>
              <w:tabs>
                <w:tab w:val="left" w:pos="87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458D4825" wp14:editId="58158530">
                  <wp:extent cx="2375535" cy="1812290"/>
                  <wp:effectExtent l="0" t="0" r="0" b="0"/>
                  <wp:docPr id="11" name="Рисунок 11" descr="Картинки по запросу поручни для инвалид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Картинки по запросу поручни для инвалид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03" cy="1823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rPr>
          <w:trHeight w:val="625"/>
        </w:trPr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Обеспечение доступной среды по путям движения в здании.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</w:tr>
      <w:tr w:rsidR="00357026" w:rsidTr="00E0630A">
        <w:trPr>
          <w:trHeight w:val="625"/>
        </w:trPr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Установить тактильную плитку и цветовое обозначение перед началом лестницы и преград.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Тактильно-контрастные указатели, выполняющие функцию предупреждения на покрытии пешеходных путей, следует размещать на расстоянии 0,8 - 0,9 м до препятствия, доступного входа, начала опасного участка, перед внешней лестницей и т.п. Глубина предупреждающего указателя должна быть в пределах 0,5 - 0,6 м и входить в общее нормируемое расстояние до препятствия. Указатель должен заканчиваться до препятствия на расстоянии 0,3 м. Указатели должны иметь высоту рифов 5 мм.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П. 5.1.10 СП 59.13330.2016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CA362CB" wp14:editId="3311F637">
                  <wp:extent cx="2286000" cy="1524000"/>
                  <wp:effectExtent l="0" t="0" r="0" b="0"/>
                  <wp:docPr id="12" name="Рисунок 1" descr="n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1" descr="n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rPr>
          <w:trHeight w:val="625"/>
        </w:trPr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более чем одного этажа здания или подвала, к которому должен быть обеспечен доступ МГН, в ОСИ должен быть мобильный подъемник.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Пример: Подъемник лестничный гусеничный мобильный Т09 "</w:t>
            </w:r>
            <w:proofErr w:type="spellStart"/>
            <w:r>
              <w:rPr>
                <w:rFonts w:ascii="Times New Roman" w:hAnsi="Times New Roman"/>
              </w:rPr>
              <w:t>Roby</w:t>
            </w:r>
            <w:proofErr w:type="spellEnd"/>
            <w:proofErr w:type="gramStart"/>
            <w:r>
              <w:rPr>
                <w:rFonts w:ascii="Times New Roman" w:hAnsi="Times New Roman"/>
              </w:rPr>
              <w:t>"  PPP</w:t>
            </w:r>
            <w:proofErr w:type="gramEnd"/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П. 5.2.13 СП 59.13330.2016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31F681B" wp14:editId="76E9C2A0">
                  <wp:extent cx="2009775" cy="2676525"/>
                  <wp:effectExtent l="19050" t="0" r="9525" b="0"/>
                  <wp:docPr id="13" name="Рисунок 13" descr="C:\Users\user\AppData\Local\Microsoft\Windows\INetCache\Content.Word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 descr="C:\Users\user\AppData\Local\Microsoft\Windows\INetCache\Content.Word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267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rPr>
          <w:trHeight w:val="625"/>
        </w:trPr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поверхности поручней перил нанести рельефные предупредительные полосы об окончании перил.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6.2.12 СП 59.13330.2016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</w:tr>
      <w:tr w:rsidR="00357026" w:rsidTr="00E0630A">
        <w:trPr>
          <w:trHeight w:val="625"/>
        </w:trPr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Обеспечение доступной среды в зоне санитарно-гигиенических помещений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</w:tr>
      <w:tr w:rsidR="00357026" w:rsidTr="00E0630A">
        <w:trPr>
          <w:trHeight w:val="625"/>
        </w:trPr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Оборудовать туалетную кабину в соответствии с нормативными требованиями.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Доступная кабина в общественной уборной должна иметь размеры в плане, м, не менее: ширина - 1,65, глубина - 2,2, ширина двери - 0,9. В кабине сбоку от унитаза следует предусматривать пространство рядом с унитазом шириной не менее 0,8 м для размещения кресла-коляски, а также крючки для одежды, костылей и других принадлежностей. В кабине должно быть свободное пространство диаметром 1,4 м для разворота кресла-коляски. Двери должны открываться наружу.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универсальной кабине и других санитарно-бытовых помещениях, предназначенных для пользования всеми категориями граждан, в том числе инвалидов, следует предусматривать возможность установки стационарных и откидных опорных поручней, поворотных или откидных сидений. Размеры универсальной кабины в плане, м, не менее: ширина - 2,2, глубина - 2,25.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 из писсуаров следует располагать на высоте от пола не более 0,4 м или применять писсуар вертикальной формы. Следует применять унитазы, имеющие опору для спины, высоту - 0,45 - 0,5 м и длину - 0,7 м.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дверей блоков санитарно-бытовых помещений, включающих в себя доступные кабины (уборных, душевых, ванн и т.п.), и универсальной кабины уборной следует предусматривать со стороны ручки информационные таблички помещений (выполненные рельефно-графическим и рельефно-точечным способом), расположенные на высоте от 1,2 до 1,6 м от уровня пола и на расстоянии 0,1 - 0,5 м от края двери.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доступных кабинах (душевых, ванных) и универсальных кабинах уборных следует применять водопроводные краны с рычажной рукояткой и термостатом, а при возможности - с автоматическими и сенсорными кранами бесконтактного типа. Применение кранов с раздельным управлением горячей и холодной водой не допускается.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Следует применять унитазы и писсуары с автоматическим сливом воды или с ручным кнопочным управлением. Допускается применение унитазов и раковин умывальников с механизмом электрического или гидравлического вертикального перемещения.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дверях доступных и универсальных кабин следует предусматривать возможность открывания снаружи.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 предусмотреть установку системы вызова помощника, кнопка вызова должна быть оборудована дополнительным шнурком.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</w:t>
            </w:r>
            <w:r>
              <w:rPr>
                <w:rFonts w:ascii="Times New Roman" w:hAnsi="Times New Roman"/>
                <w:i/>
                <w:iCs/>
              </w:rPr>
              <w:t>. 6.3. СП 59.13330.2016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0DC66C5" wp14:editId="225F43BF">
                  <wp:extent cx="2400300" cy="1962150"/>
                  <wp:effectExtent l="19050" t="0" r="0" b="0"/>
                  <wp:docPr id="14" name="Рисунок 14" descr="C:\Users\user\AppData\Local\Microsoft\Windows\INetCache\Content.Word\c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 descr="C:\Users\user\AppData\Local\Microsoft\Windows\INetCache\Content.Word\c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026" w:rsidTr="00E0630A">
        <w:trPr>
          <w:trHeight w:val="625"/>
        </w:trPr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Парковка для МГН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</w:p>
        </w:tc>
      </w:tr>
      <w:tr w:rsidR="00357026" w:rsidTr="00E0630A">
        <w:trPr>
          <w:trHeight w:val="625"/>
        </w:trPr>
        <w:tc>
          <w:tcPr>
            <w:tcW w:w="562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3119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Выделить место для парковки автотранспорта МГН.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стоянке (парковке) транспортных средств личного пользования, расположенной на участке около здания организации сферы услуг или внутри этого здания, следует выделять 10% </w:t>
            </w:r>
            <w:proofErr w:type="spellStart"/>
            <w:r>
              <w:rPr>
                <w:rFonts w:ascii="Times New Roman" w:hAnsi="Times New Roman"/>
              </w:rPr>
              <w:t>машино</w:t>
            </w:r>
            <w:proofErr w:type="spellEnd"/>
            <w:r>
              <w:rPr>
                <w:rFonts w:ascii="Times New Roman" w:hAnsi="Times New Roman"/>
              </w:rPr>
              <w:t xml:space="preserve">-мест (но не менее одного места) для людей с инвалидностью, в том числе количество специализированных расширенных </w:t>
            </w:r>
            <w:proofErr w:type="spellStart"/>
            <w:r>
              <w:rPr>
                <w:rFonts w:ascii="Times New Roman" w:hAnsi="Times New Roman"/>
              </w:rPr>
              <w:t>машино</w:t>
            </w:r>
            <w:proofErr w:type="spellEnd"/>
            <w:r>
              <w:rPr>
                <w:rFonts w:ascii="Times New Roman" w:hAnsi="Times New Roman"/>
              </w:rPr>
              <w:t>-мест для транспортных средств инвалидов, передвигающихся на кресле-коляске, определять расчетом, при числе мест: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 до 100 включительно... 5%, но не менее одного места;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 от 101 до 200......... 5 мест и дополнительно 3% от количества мест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свыше 100;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 от 201 до 500......... 8 мест и дополнительно 2% от количества мест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свыше 200;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- 501 и более........... 14 мест и дополнительно 1% от количества мест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свыше 500.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Каждое выделяемое </w:t>
            </w:r>
            <w:proofErr w:type="spellStart"/>
            <w:r>
              <w:rPr>
                <w:rFonts w:ascii="Times New Roman" w:hAnsi="Times New Roman"/>
              </w:rPr>
              <w:t>машино</w:t>
            </w:r>
            <w:proofErr w:type="spellEnd"/>
            <w:r>
              <w:rPr>
                <w:rFonts w:ascii="Times New Roman" w:hAnsi="Times New Roman"/>
              </w:rPr>
              <w:t>-место должно обозначаться дорожной разметкой и, кроме того, на участке около здания - дорожными знаками, внутри зданий - знаком доступности, выполняемым на вертикальной поверхности (стене, стойке и т.п.) на высоте от 1,5 до 2,0 м.</w:t>
            </w:r>
          </w:p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Места для стоянки (парковки) транспортных средств, управляемых инвалидами или перевозящих инвалидов, следует размещать вблизи входа в предприятие, организацию или в учреждение, доступного для </w:t>
            </w:r>
            <w:r>
              <w:rPr>
                <w:rFonts w:ascii="Times New Roman" w:hAnsi="Times New Roman"/>
              </w:rPr>
              <w:lastRenderedPageBreak/>
              <w:t>инвалидов, но не далее 50 м, от входа в жилое здание - не далее 100 м.</w:t>
            </w:r>
          </w:p>
        </w:tc>
        <w:tc>
          <w:tcPr>
            <w:tcW w:w="2268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П.5.2. СП 59.13330.2016</w:t>
            </w:r>
          </w:p>
        </w:tc>
        <w:tc>
          <w:tcPr>
            <w:tcW w:w="3544" w:type="dxa"/>
          </w:tcPr>
          <w:p w:rsidR="00357026" w:rsidRDefault="00357026" w:rsidP="00E06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BB6C85C" wp14:editId="6E314BD2">
                  <wp:extent cx="2438400" cy="1504950"/>
                  <wp:effectExtent l="19050" t="0" r="0" b="0"/>
                  <wp:docPr id="15" name="Рисунок 15" descr="C:\Users\user\Desktop\рр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 descr="C:\Users\user\Desktop\рр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7026" w:rsidRDefault="00357026" w:rsidP="00357026">
      <w:pPr>
        <w:rPr>
          <w:rFonts w:ascii="Times New Roman" w:hAnsi="Times New Roman"/>
        </w:rPr>
      </w:pPr>
    </w:p>
    <w:p w:rsidR="00357026" w:rsidRDefault="00357026" w:rsidP="00357026"/>
    <w:p w:rsidR="00676EBF" w:rsidRDefault="00676EBF">
      <w:bookmarkStart w:id="0" w:name="_GoBack"/>
      <w:bookmarkEnd w:id="0"/>
    </w:p>
    <w:sectPr w:rsidR="00676EBF" w:rsidSect="00A962B7">
      <w:pgSz w:w="11906" w:h="16838"/>
      <w:pgMar w:top="284" w:right="284" w:bottom="284" w:left="1276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26"/>
    <w:rsid w:val="00357026"/>
    <w:rsid w:val="0067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F3A33-64C5-4D55-8205-CBA879DB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57026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2026-03-04T07:10:00Z</dcterms:created>
  <dcterms:modified xsi:type="dcterms:W3CDTF">2026-03-04T07:10:00Z</dcterms:modified>
</cp:coreProperties>
</file>